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BDE9"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eastAsia="es-ES"/>
        </w:rPr>
        <w:drawing>
          <wp:inline distT="0" distB="0" distL="0" distR="0" wp14:anchorId="42DA010F" wp14:editId="406763B5">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14:paraId="19B28098"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3168895B"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6FFBFEBD"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341705F2"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126A22BB" w14:textId="77777777" w:rsidR="00C41D55" w:rsidRPr="008F587F" w:rsidRDefault="00C41D55" w:rsidP="008F587F">
            <w:pPr>
              <w:tabs>
                <w:tab w:val="left" w:pos="3420"/>
              </w:tabs>
              <w:spacing w:before="60" w:after="60"/>
              <w:rPr>
                <w:rFonts w:ascii="Arial" w:hAnsi="Arial" w:cs="Arial"/>
                <w:b/>
              </w:rPr>
            </w:pPr>
          </w:p>
          <w:p w14:paraId="0CC31C08"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63F9ABF8"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24BE0BD"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59CAEA1E"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7C4725ED"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5086F753"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64CAF94D"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94003C" w:rsidRPr="008F587F" w14:paraId="6CE3E4ED"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884775C"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094D56D4"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DD25680" w14:textId="42C46188" w:rsidR="00285157" w:rsidRPr="008F587F" w:rsidRDefault="00285157" w:rsidP="00DB2A1C">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sidRPr="006E3DF2">
              <w:rPr>
                <w:rFonts w:ascii="Arial" w:hAnsi="Arial" w:cs="Arial"/>
                <w:sz w:val="20"/>
                <w:szCs w:val="20"/>
              </w:rPr>
              <w:t xml:space="preserve">ESTABLECE PISTAS </w:t>
            </w:r>
            <w:r w:rsidR="00DB2A1C">
              <w:rPr>
                <w:rFonts w:ascii="Arial" w:hAnsi="Arial" w:cs="Arial"/>
                <w:sz w:val="20"/>
                <w:szCs w:val="20"/>
              </w:rPr>
              <w:t xml:space="preserve">PROVISORIA DE </w:t>
            </w:r>
            <w:r w:rsidR="006E3DF2" w:rsidRPr="006E3DF2">
              <w:rPr>
                <w:rFonts w:ascii="Arial" w:hAnsi="Arial" w:cs="Arial"/>
                <w:sz w:val="20"/>
                <w:szCs w:val="20"/>
              </w:rPr>
              <w:t>DE USO EXCLUSIVO EN LA COMUNA DE VALDIVIA PARA LA CIRCULACIÓN DE VEHÍCULOS DE TRANSPORTE PÚBLICO QUE INDICA</w:t>
            </w:r>
            <w:r w:rsidRPr="008F587F">
              <w:rPr>
                <w:rFonts w:ascii="Arial" w:hAnsi="Arial" w:cs="Arial"/>
                <w:sz w:val="20"/>
                <w:szCs w:val="20"/>
              </w:rPr>
              <w:fldChar w:fldCharType="end"/>
            </w:r>
            <w:bookmarkEnd w:id="0"/>
          </w:p>
        </w:tc>
      </w:tr>
      <w:tr w:rsidR="0094003C" w:rsidRPr="008F587F" w14:paraId="22DDE200"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708ACE6"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1A4AD58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533E9F3"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14:paraId="23A2E1DA"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ABF221E"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518C9C09"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3E6B9DE7"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43EE1766"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200473DB"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65DD5D31"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784D0953"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27558F46"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41957E5C"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1F1D684A"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4636A2B1"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390C48E7"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48EDD444"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1866439A"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263C364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6EF9FDC7"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0789B4E8"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66DCBCF6"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66F50014"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6010F52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0598C21E"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505BA52E"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77B7F2DC"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3D4A0EBF"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5D248602"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5D35E5A6"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25C618BD"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66ECCECA"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42600FA2"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3BAFE014"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65343BCD"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1FE70DD4"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7E0A3622"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68CBB86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6A6F1406"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B751BC">
              <w:rPr>
                <w:rFonts w:ascii="Arial" w:hAnsi="Arial" w:cs="Arial"/>
                <w:b/>
                <w:sz w:val="20"/>
                <w:szCs w:val="20"/>
              </w:rPr>
            </w:r>
            <w:r w:rsidR="00B751BC">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338C82DA"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A449171"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2983DC22"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3084C721" w14:textId="77777777"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70D7FFF9" w14:textId="77777777"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14:paraId="5F14101F"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42A0D4C0" w14:textId="77777777" w:rsidR="00D5545A" w:rsidRPr="00AC65EC" w:rsidRDefault="00D5545A" w:rsidP="006E3DF2">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6E3DF2">
              <w:rPr>
                <w:rFonts w:ascii="Arial" w:hAnsi="Arial" w:cs="Arial"/>
                <w:sz w:val="20"/>
                <w:szCs w:val="20"/>
              </w:rPr>
              <w:t>Seremi MTT Los Ríos.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2F0E9FC5"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72856B35"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1FBB6103"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757C6A1D"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036EB629"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494EF792"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0C5C0109"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40FFBEB7"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Oscar Quezada Monrás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2E4446C7"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Unidad Legal.</w:t>
            </w:r>
            <w:r w:rsidRPr="008F587F">
              <w:rPr>
                <w:rFonts w:ascii="Arial" w:hAnsi="Arial" w:cs="Arial"/>
                <w:sz w:val="20"/>
                <w:szCs w:val="20"/>
              </w:rPr>
              <w:fldChar w:fldCharType="end"/>
            </w:r>
          </w:p>
        </w:tc>
      </w:tr>
      <w:tr w:rsidR="006C2285" w:rsidRPr="008F587F" w14:paraId="598D5A56"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40A06759"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64A99A32"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518FC1D2"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1ECF7DD8"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632224216</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191B90D4"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oquezada@mtt.gob.cl</w:t>
            </w:r>
            <w:r w:rsidRPr="008F587F">
              <w:rPr>
                <w:rFonts w:ascii="Arial" w:hAnsi="Arial" w:cs="Arial"/>
                <w:sz w:val="20"/>
                <w:szCs w:val="20"/>
              </w:rPr>
              <w:fldChar w:fldCharType="end"/>
            </w:r>
          </w:p>
        </w:tc>
      </w:tr>
      <w:tr w:rsidR="006C2285" w:rsidRPr="008F587F" w14:paraId="44F0B404"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130B86F5" w14:textId="77777777" w:rsidR="006C2285" w:rsidRPr="008F587F" w:rsidRDefault="006C2285" w:rsidP="008F587F">
            <w:pPr>
              <w:tabs>
                <w:tab w:val="left" w:pos="3420"/>
              </w:tabs>
              <w:spacing w:before="60" w:after="60"/>
              <w:rPr>
                <w:rFonts w:ascii="Arial" w:hAnsi="Arial" w:cs="Arial"/>
                <w:b/>
              </w:rPr>
            </w:pPr>
          </w:p>
          <w:p w14:paraId="3C452D89"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3D032ECE"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6136CFB9"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0ECBD6FC"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4B30C253"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9171B49" w14:textId="3A4729AC" w:rsidR="00DB2A1C"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B2A1C">
              <w:rPr>
                <w:rFonts w:ascii="Arial" w:hAnsi="Arial" w:cs="Arial"/>
                <w:sz w:val="18"/>
                <w:szCs w:val="18"/>
              </w:rPr>
              <w:t xml:space="preserve">El crecimiento de la Isla Teja y la concentración de importantes centros de comercio y estudio ha generado uno de los principales focos de congestión para los ciudadanos de Valdivia, en general, y los residentes del sector, en particular. Lo anterior, se ha visto reflejado en uno de las más importantes puntos de gestión de conectividad en revisar, entre la ciudad de Valdivia y su costa. </w:t>
            </w:r>
          </w:p>
          <w:p w14:paraId="3E276396" w14:textId="71427A01" w:rsidR="006E3DF2" w:rsidRDefault="006E3DF2" w:rsidP="008F587F">
            <w:pPr>
              <w:tabs>
                <w:tab w:val="left" w:pos="3420"/>
              </w:tabs>
              <w:spacing w:before="60" w:after="60"/>
              <w:jc w:val="both"/>
              <w:rPr>
                <w:rFonts w:ascii="Arial" w:hAnsi="Arial" w:cs="Arial"/>
                <w:sz w:val="18"/>
                <w:szCs w:val="18"/>
              </w:rPr>
            </w:pPr>
          </w:p>
          <w:p w14:paraId="082447AA" w14:textId="6FE58B3A" w:rsidR="006C2285" w:rsidRPr="008F587F" w:rsidRDefault="006E3DF2" w:rsidP="008F587F">
            <w:pPr>
              <w:tabs>
                <w:tab w:val="left" w:pos="3420"/>
              </w:tabs>
              <w:spacing w:before="60" w:after="60"/>
              <w:jc w:val="both"/>
              <w:rPr>
                <w:rFonts w:ascii="Arial" w:hAnsi="Arial" w:cs="Arial"/>
                <w:sz w:val="18"/>
                <w:szCs w:val="18"/>
              </w:rPr>
            </w:pPr>
            <w:r>
              <w:rPr>
                <w:rFonts w:ascii="Arial" w:hAnsi="Arial" w:cs="Arial"/>
                <w:sz w:val="18"/>
                <w:szCs w:val="18"/>
              </w:rPr>
              <w:t>En dicho sentido, se analizó con el gremio de transportistas una serie de medidas que permita evitar la congestión en el centro de la ciudad y</w:t>
            </w:r>
            <w:r w:rsidR="00DB2A1C">
              <w:rPr>
                <w:rFonts w:ascii="Arial" w:hAnsi="Arial" w:cs="Arial"/>
                <w:sz w:val="18"/>
                <w:szCs w:val="18"/>
              </w:rPr>
              <w:t xml:space="preserve"> mejorar la conectividad con las actividades desarrolladas en Isla Teja y el sector costero </w:t>
            </w:r>
            <w:r w:rsidR="00DB2A1C">
              <w:rPr>
                <w:rFonts w:ascii="Arial" w:hAnsi="Arial" w:cs="Arial"/>
                <w:sz w:val="18"/>
                <w:szCs w:val="18"/>
              </w:rPr>
              <w:lastRenderedPageBreak/>
              <w:t>de la ciudad. A</w:t>
            </w:r>
            <w:r>
              <w:rPr>
                <w:rFonts w:ascii="Arial" w:hAnsi="Arial" w:cs="Arial"/>
                <w:sz w:val="18"/>
                <w:szCs w:val="18"/>
              </w:rPr>
              <w:t xml:space="preserve">dicionalmente, </w:t>
            </w:r>
            <w:r w:rsidR="00DB2A1C">
              <w:rPr>
                <w:rFonts w:ascii="Arial" w:hAnsi="Arial" w:cs="Arial"/>
                <w:sz w:val="18"/>
                <w:szCs w:val="18"/>
              </w:rPr>
              <w:t xml:space="preserve">se ha intentado dar más </w:t>
            </w:r>
            <w:proofErr w:type="spellStart"/>
            <w:r w:rsidR="00DB2A1C">
              <w:rPr>
                <w:rFonts w:ascii="Arial" w:hAnsi="Arial" w:cs="Arial"/>
                <w:sz w:val="18"/>
                <w:szCs w:val="18"/>
              </w:rPr>
              <w:t>f</w:t>
            </w:r>
            <w:r>
              <w:rPr>
                <w:rFonts w:ascii="Arial" w:hAnsi="Arial" w:cs="Arial"/>
                <w:sz w:val="18"/>
                <w:szCs w:val="18"/>
              </w:rPr>
              <w:t>luidéz</w:t>
            </w:r>
            <w:proofErr w:type="spellEnd"/>
            <w:r>
              <w:rPr>
                <w:rFonts w:ascii="Arial" w:hAnsi="Arial" w:cs="Arial"/>
                <w:sz w:val="18"/>
                <w:szCs w:val="18"/>
              </w:rPr>
              <w:t xml:space="preserve"> y eficacia al transporte público mayor, a través de </w:t>
            </w:r>
            <w:r w:rsidR="00DB2A1C">
              <w:rPr>
                <w:rFonts w:ascii="Arial" w:hAnsi="Arial" w:cs="Arial"/>
                <w:sz w:val="18"/>
                <w:szCs w:val="18"/>
              </w:rPr>
              <w:t xml:space="preserve">un corredor provisorio, </w:t>
            </w:r>
            <w:r>
              <w:rPr>
                <w:rFonts w:ascii="Arial" w:hAnsi="Arial" w:cs="Arial"/>
                <w:sz w:val="18"/>
                <w:szCs w:val="18"/>
              </w:rPr>
              <w:t xml:space="preserve">exclusivo, en </w:t>
            </w:r>
            <w:r w:rsidR="00DB2A1C">
              <w:rPr>
                <w:rFonts w:ascii="Arial" w:hAnsi="Arial" w:cs="Arial"/>
                <w:sz w:val="18"/>
                <w:szCs w:val="18"/>
              </w:rPr>
              <w:t xml:space="preserve">principal calle de Isla Teja. </w:t>
            </w:r>
            <w:r w:rsidR="006C2285" w:rsidRPr="008F587F">
              <w:rPr>
                <w:rFonts w:ascii="Arial" w:hAnsi="Arial" w:cs="Arial"/>
                <w:sz w:val="18"/>
                <w:szCs w:val="18"/>
              </w:rPr>
              <w:fldChar w:fldCharType="end"/>
            </w:r>
          </w:p>
          <w:p w14:paraId="72DDF3E3" w14:textId="77777777" w:rsidR="0017729F" w:rsidRPr="008F587F" w:rsidRDefault="0017729F" w:rsidP="008F587F">
            <w:pPr>
              <w:tabs>
                <w:tab w:val="left" w:pos="3420"/>
              </w:tabs>
              <w:spacing w:before="60" w:after="60"/>
              <w:rPr>
                <w:rFonts w:ascii="Arial" w:hAnsi="Arial" w:cs="Arial"/>
                <w:b/>
                <w:sz w:val="20"/>
                <w:szCs w:val="20"/>
              </w:rPr>
            </w:pPr>
          </w:p>
          <w:p w14:paraId="47E22EF8"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44C3ABFA"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289BC903"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7B7B5047"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B751BC">
              <w:rPr>
                <w:rFonts w:ascii="Arial" w:hAnsi="Arial" w:cs="Arial"/>
                <w:sz w:val="16"/>
                <w:szCs w:val="16"/>
              </w:rPr>
            </w:r>
            <w:r w:rsidR="00B751BC">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14:paraId="00E671E4"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21A97D26"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7E32E0C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B751BC">
              <w:rPr>
                <w:rFonts w:ascii="Arial" w:hAnsi="Arial" w:cs="Arial"/>
                <w:sz w:val="16"/>
                <w:szCs w:val="16"/>
              </w:rPr>
            </w:r>
            <w:r w:rsidR="00B751BC">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124FC4F7"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3ABD67A"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646D82DE"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1943F104" w14:textId="77777777" w:rsidR="006E3DF2"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6E3DF2">
              <w:rPr>
                <w:rFonts w:ascii="Arial" w:hAnsi="Arial" w:cs="Arial"/>
                <w:noProof/>
                <w:sz w:val="18"/>
                <w:szCs w:val="18"/>
              </w:rPr>
              <w:t>1.- Descongestionar el centro de la ciudad de Valdivia.</w:t>
            </w:r>
          </w:p>
          <w:p w14:paraId="5E81E7E7" w14:textId="14C116E3" w:rsidR="006E3DF2" w:rsidRDefault="006E3DF2" w:rsidP="008F587F">
            <w:pPr>
              <w:spacing w:before="60" w:after="60"/>
              <w:jc w:val="both"/>
              <w:rPr>
                <w:rFonts w:ascii="Arial" w:hAnsi="Arial" w:cs="Arial"/>
                <w:noProof/>
                <w:sz w:val="18"/>
                <w:szCs w:val="18"/>
              </w:rPr>
            </w:pPr>
            <w:r>
              <w:rPr>
                <w:rFonts w:ascii="Arial" w:hAnsi="Arial" w:cs="Arial"/>
                <w:noProof/>
                <w:sz w:val="18"/>
                <w:szCs w:val="18"/>
              </w:rPr>
              <w:t>2.- Darle mayor fluidez, en horarios punta, y eficiencia en el funcionamiento de los servicios de transporte público mayor</w:t>
            </w:r>
            <w:r w:rsidR="00DB2A1C">
              <w:rPr>
                <w:rFonts w:ascii="Arial" w:hAnsi="Arial" w:cs="Arial"/>
                <w:noProof/>
                <w:sz w:val="18"/>
                <w:szCs w:val="18"/>
              </w:rPr>
              <w:t xml:space="preserve"> en Isla Teja.</w:t>
            </w:r>
          </w:p>
          <w:p w14:paraId="38AA6904" w14:textId="07EF495C" w:rsidR="006E3DF2" w:rsidRDefault="006E3DF2" w:rsidP="008F587F">
            <w:pPr>
              <w:spacing w:before="60" w:after="60"/>
              <w:jc w:val="both"/>
              <w:rPr>
                <w:rFonts w:ascii="Arial" w:hAnsi="Arial" w:cs="Arial"/>
                <w:noProof/>
                <w:sz w:val="18"/>
                <w:szCs w:val="18"/>
              </w:rPr>
            </w:pPr>
            <w:r>
              <w:rPr>
                <w:rFonts w:ascii="Arial" w:hAnsi="Arial" w:cs="Arial"/>
                <w:noProof/>
                <w:sz w:val="18"/>
                <w:szCs w:val="18"/>
              </w:rPr>
              <w:t>3.- Priorizar el traslado de pasajeros a través de transporte público</w:t>
            </w:r>
            <w:r w:rsidR="00DB2A1C">
              <w:rPr>
                <w:rFonts w:ascii="Arial" w:hAnsi="Arial" w:cs="Arial"/>
                <w:noProof/>
                <w:sz w:val="18"/>
                <w:szCs w:val="18"/>
              </w:rPr>
              <w:t xml:space="preserve">, desde la Isla teja y hacia el centro de Valdivia y entre Valdivia y el sector costero. </w:t>
            </w:r>
          </w:p>
          <w:p w14:paraId="7C8B8362" w14:textId="77777777" w:rsidR="006E3DF2" w:rsidRDefault="006E3DF2" w:rsidP="008F587F">
            <w:pPr>
              <w:spacing w:before="60" w:after="60"/>
              <w:jc w:val="both"/>
              <w:rPr>
                <w:rFonts w:ascii="Arial" w:hAnsi="Arial" w:cs="Arial"/>
                <w:noProof/>
                <w:sz w:val="18"/>
                <w:szCs w:val="18"/>
              </w:rPr>
            </w:pPr>
            <w:r>
              <w:rPr>
                <w:rFonts w:ascii="Arial" w:hAnsi="Arial" w:cs="Arial"/>
                <w:noProof/>
                <w:sz w:val="18"/>
                <w:szCs w:val="18"/>
              </w:rPr>
              <w:t xml:space="preserve">4.- Ofrecer alternativas eficientes para los usuarios de transporte público en el centro de la ciudad. </w:t>
            </w:r>
          </w:p>
          <w:p w14:paraId="6ED0B01A" w14:textId="77777777" w:rsidR="00DB2A1C" w:rsidRDefault="006E3DF2" w:rsidP="008F587F">
            <w:pPr>
              <w:spacing w:before="60" w:after="60"/>
              <w:jc w:val="both"/>
              <w:rPr>
                <w:rFonts w:ascii="Arial" w:hAnsi="Arial" w:cs="Arial"/>
                <w:noProof/>
                <w:sz w:val="18"/>
                <w:szCs w:val="18"/>
              </w:rPr>
            </w:pPr>
            <w:r>
              <w:rPr>
                <w:rFonts w:ascii="Arial" w:hAnsi="Arial" w:cs="Arial"/>
                <w:noProof/>
                <w:sz w:val="18"/>
                <w:szCs w:val="18"/>
              </w:rPr>
              <w:t>5.- Evitar tacos y atochamientos, propiciados principalmente por los servicios de transporte público, en horarios punta.</w:t>
            </w:r>
          </w:p>
          <w:p w14:paraId="0F3C4B01" w14:textId="49EE4823" w:rsidR="006C2285" w:rsidRPr="008F587F" w:rsidRDefault="00DB2A1C" w:rsidP="008F587F">
            <w:pPr>
              <w:spacing w:before="60" w:after="60"/>
              <w:jc w:val="both"/>
              <w:rPr>
                <w:rFonts w:ascii="Arial" w:hAnsi="Arial" w:cs="Arial"/>
                <w:sz w:val="18"/>
                <w:szCs w:val="18"/>
              </w:rPr>
            </w:pPr>
            <w:r>
              <w:rPr>
                <w:rFonts w:ascii="Arial" w:hAnsi="Arial" w:cs="Arial"/>
                <w:noProof/>
                <w:sz w:val="18"/>
                <w:szCs w:val="18"/>
              </w:rPr>
              <w:t xml:space="preserve">6.- Propender a mejorar la conectividad entre los habitantes de la costa con la ciudad de Valdivia. </w:t>
            </w:r>
            <w:r w:rsidR="006E3DF2">
              <w:rPr>
                <w:rFonts w:ascii="Arial" w:hAnsi="Arial" w:cs="Arial"/>
                <w:noProof/>
                <w:sz w:val="18"/>
                <w:szCs w:val="18"/>
              </w:rPr>
              <w:t xml:space="preserve"> </w:t>
            </w:r>
            <w:r w:rsidR="006C2285" w:rsidRPr="008F587F">
              <w:rPr>
                <w:rFonts w:ascii="Arial" w:hAnsi="Arial" w:cs="Arial"/>
                <w:sz w:val="18"/>
                <w:szCs w:val="18"/>
              </w:rPr>
              <w:fldChar w:fldCharType="end"/>
            </w:r>
            <w:bookmarkEnd w:id="4"/>
          </w:p>
          <w:p w14:paraId="17161758" w14:textId="77777777" w:rsidR="0017729F" w:rsidRPr="008F587F" w:rsidRDefault="0017729F" w:rsidP="008F587F">
            <w:pPr>
              <w:spacing w:before="60" w:after="60"/>
              <w:rPr>
                <w:rFonts w:ascii="Arial" w:hAnsi="Arial" w:cs="Arial"/>
                <w:sz w:val="16"/>
                <w:szCs w:val="16"/>
              </w:rPr>
            </w:pPr>
          </w:p>
          <w:p w14:paraId="458A445D" w14:textId="77777777" w:rsidR="00C43AEA" w:rsidRPr="008F587F" w:rsidRDefault="00C43AEA" w:rsidP="008F587F">
            <w:pPr>
              <w:spacing w:before="60" w:after="60"/>
              <w:rPr>
                <w:rFonts w:ascii="Arial" w:hAnsi="Arial" w:cs="Arial"/>
                <w:sz w:val="16"/>
                <w:szCs w:val="16"/>
              </w:rPr>
            </w:pPr>
          </w:p>
        </w:tc>
      </w:tr>
      <w:tr w:rsidR="006C2285" w:rsidRPr="008F587F" w14:paraId="072C43D9"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8426BBE"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56F92426"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1DDFC48" w14:textId="1D626F3C" w:rsidR="00DB2A1C" w:rsidRDefault="006C2285" w:rsidP="00BB5380">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B2A1C" w:rsidRPr="00DB2A1C">
              <w:rPr>
                <w:rFonts w:ascii="Arial" w:hAnsi="Arial" w:cs="Arial"/>
                <w:sz w:val="18"/>
                <w:szCs w:val="18"/>
              </w:rPr>
              <w:t xml:space="preserve">ESTABLÉCESE que la pista de circulación derecha, según sentido de circulación, de Avda. Los Robles entre </w:t>
            </w:r>
            <w:proofErr w:type="spellStart"/>
            <w:r w:rsidR="00DB2A1C" w:rsidRPr="00DB2A1C">
              <w:rPr>
                <w:rFonts w:ascii="Arial" w:hAnsi="Arial" w:cs="Arial"/>
                <w:sz w:val="18"/>
                <w:szCs w:val="18"/>
              </w:rPr>
              <w:t>Avda</w:t>
            </w:r>
            <w:proofErr w:type="spellEnd"/>
            <w:r w:rsidR="00DB2A1C" w:rsidRPr="00DB2A1C">
              <w:rPr>
                <w:rFonts w:ascii="Arial" w:hAnsi="Arial" w:cs="Arial"/>
                <w:sz w:val="18"/>
                <w:szCs w:val="18"/>
              </w:rPr>
              <w:t xml:space="preserve"> Los Lingues y Avda. Los Laureles (lado sur sentido hacia el puente Pedro de Valdivia), será de uso exclusivo para buses de transporte público urbano y rural de pasajeros. 2 Sin perjuicio de lo dispuesto en el numeral 1 precedente, podrán circular por la pista de uso exclusivo individualizada, los siguientes vehículos: i) Vehículos de emergencia. ii) Los vehículos que deban obligatoriamente utilizar la pista de uso exclusivo, con el único objetivo de ingresar o egresar desde sus lugares de residencia o </w:t>
            </w:r>
            <w:proofErr w:type="spellStart"/>
            <w:r w:rsidR="00DB2A1C" w:rsidRPr="00DB2A1C">
              <w:rPr>
                <w:rFonts w:ascii="Arial" w:hAnsi="Arial" w:cs="Arial"/>
                <w:sz w:val="18"/>
                <w:szCs w:val="18"/>
              </w:rPr>
              <w:t>estac¡onamiento</w:t>
            </w:r>
            <w:proofErr w:type="spellEnd"/>
            <w:r w:rsidR="00DB2A1C" w:rsidRPr="00DB2A1C">
              <w:rPr>
                <w:rFonts w:ascii="Arial" w:hAnsi="Arial" w:cs="Arial"/>
                <w:sz w:val="18"/>
                <w:szCs w:val="18"/>
              </w:rPr>
              <w:t xml:space="preserve">, siempre que acrediten la circunstancia antes indicada. Sin embargo, estos vehículos deberán abandonar de forma </w:t>
            </w:r>
            <w:proofErr w:type="spellStart"/>
            <w:r w:rsidR="00DB2A1C" w:rsidRPr="00DB2A1C">
              <w:rPr>
                <w:rFonts w:ascii="Arial" w:hAnsi="Arial" w:cs="Arial"/>
                <w:sz w:val="18"/>
                <w:szCs w:val="18"/>
              </w:rPr>
              <w:t>inmed¡ata</w:t>
            </w:r>
            <w:proofErr w:type="spellEnd"/>
            <w:r w:rsidR="00DB2A1C" w:rsidRPr="00DB2A1C">
              <w:rPr>
                <w:rFonts w:ascii="Arial" w:hAnsi="Arial" w:cs="Arial"/>
                <w:sz w:val="18"/>
                <w:szCs w:val="18"/>
              </w:rPr>
              <w:t xml:space="preserve"> la pista de uso exclusivo. iii) Los taxis colectivos, sólo para dejar y recoger pasajeros, en aquellas paradas debidamente autorizada y habilitadas por la </w:t>
            </w:r>
            <w:proofErr w:type="spellStart"/>
            <w:r w:rsidR="00DB2A1C" w:rsidRPr="00DB2A1C">
              <w:rPr>
                <w:rFonts w:ascii="Arial" w:hAnsi="Arial" w:cs="Arial"/>
                <w:sz w:val="18"/>
                <w:szCs w:val="18"/>
              </w:rPr>
              <w:t>llustre</w:t>
            </w:r>
            <w:proofErr w:type="spellEnd"/>
            <w:r w:rsidR="00DB2A1C" w:rsidRPr="00DB2A1C">
              <w:rPr>
                <w:rFonts w:ascii="Arial" w:hAnsi="Arial" w:cs="Arial"/>
                <w:sz w:val="18"/>
                <w:szCs w:val="18"/>
              </w:rPr>
              <w:t xml:space="preserve"> Municipalidad de Valdivia. iv) Vehículos y camiones recolectores de basura, con la sola finalidad de hacer retiro de los desechos particulares depositados en el costado de la calzada correspondiente a las pistas exclusivas.</w:t>
            </w:r>
          </w:p>
          <w:p w14:paraId="48339DEB" w14:textId="0CFB15DA"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end"/>
            </w:r>
            <w:bookmarkEnd w:id="5"/>
          </w:p>
          <w:p w14:paraId="7F3E2226" w14:textId="77777777" w:rsidR="001E3658" w:rsidRPr="008F587F" w:rsidRDefault="001E3658" w:rsidP="008F587F">
            <w:pPr>
              <w:spacing w:before="60" w:after="60"/>
              <w:rPr>
                <w:rFonts w:ascii="Arial" w:hAnsi="Arial" w:cs="Arial"/>
                <w:b/>
                <w:sz w:val="20"/>
                <w:szCs w:val="20"/>
              </w:rPr>
            </w:pPr>
          </w:p>
          <w:p w14:paraId="0DB10D95" w14:textId="77777777" w:rsidR="0017729F" w:rsidRPr="008F587F" w:rsidRDefault="0017729F" w:rsidP="008F587F">
            <w:pPr>
              <w:spacing w:before="60" w:after="60"/>
              <w:rPr>
                <w:rFonts w:ascii="Arial" w:hAnsi="Arial" w:cs="Arial"/>
                <w:b/>
                <w:sz w:val="20"/>
                <w:szCs w:val="20"/>
              </w:rPr>
            </w:pPr>
          </w:p>
          <w:p w14:paraId="5C62D7AE" w14:textId="77777777" w:rsidR="00C95E3E" w:rsidRPr="008F587F" w:rsidRDefault="00C95E3E" w:rsidP="008F587F">
            <w:pPr>
              <w:spacing w:before="60" w:after="60"/>
              <w:rPr>
                <w:rFonts w:ascii="Arial" w:hAnsi="Arial" w:cs="Arial"/>
                <w:b/>
                <w:sz w:val="20"/>
                <w:szCs w:val="20"/>
              </w:rPr>
            </w:pPr>
          </w:p>
        </w:tc>
      </w:tr>
      <w:tr w:rsidR="006C2285" w:rsidRPr="008F587F" w14:paraId="2AD507E5"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2EEC9BE6"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46259514"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B751BC">
              <w:rPr>
                <w:rFonts w:ascii="Arial" w:hAnsi="Arial" w:cs="Arial"/>
                <w:sz w:val="16"/>
                <w:szCs w:val="16"/>
              </w:rPr>
            </w:r>
            <w:r w:rsidR="00B751BC">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14:paraId="56D5DB6F"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499C97AF"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1773F6F5" w14:textId="35CDA764"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B751BC">
              <w:rPr>
                <w:rFonts w:ascii="Arial" w:hAnsi="Arial" w:cs="Arial"/>
                <w:sz w:val="16"/>
                <w:szCs w:val="16"/>
              </w:rPr>
            </w:r>
            <w:r w:rsidR="00B751BC">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14:paraId="50C6814D"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655027A2"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4F0D6AC9"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13. A y luego a 13. B</w:t>
            </w:r>
          </w:p>
        </w:tc>
      </w:tr>
      <w:tr w:rsidR="00390A1B" w:rsidRPr="008F587F" w14:paraId="29007356"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6A5B5078"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4C2B0234" w14:textId="3E53075A"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1737BCA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1557A0B"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468A6999"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504C550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1B663CD8"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14:paraId="3C38DB6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6C45A2FB"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14:paraId="20A3F03E"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4701FA82"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1F42498"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7E2CAD1D"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12FA1FD5"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5F805656"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4C444766"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7273FBD4"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690E3CE"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6655FA9B"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97D0EC9"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13. A </w:t>
            </w:r>
          </w:p>
          <w:p w14:paraId="2DAD244A"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lastRenderedPageBreak/>
              <w:t xml:space="preserve">        (máximo sugerido 12 líneas)</w:t>
            </w:r>
          </w:p>
        </w:tc>
      </w:tr>
      <w:tr w:rsidR="006C2285" w:rsidRPr="008F587F" w14:paraId="4746E7E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B7BF057" w14:textId="77777777"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14:paraId="2CBFFFE4" w14:textId="77777777" w:rsidR="0017729F" w:rsidRPr="008F587F" w:rsidRDefault="0017729F" w:rsidP="008F587F">
            <w:pPr>
              <w:spacing w:before="60" w:after="60"/>
              <w:rPr>
                <w:rFonts w:ascii="Arial" w:hAnsi="Arial" w:cs="Arial"/>
                <w:sz w:val="16"/>
                <w:szCs w:val="16"/>
              </w:rPr>
            </w:pPr>
          </w:p>
          <w:p w14:paraId="5CC88FD7" w14:textId="77777777" w:rsidR="0017729F" w:rsidRPr="008F587F" w:rsidRDefault="0017729F" w:rsidP="008F587F">
            <w:pPr>
              <w:spacing w:before="60" w:after="60"/>
              <w:rPr>
                <w:rFonts w:ascii="Arial" w:hAnsi="Arial" w:cs="Arial"/>
                <w:sz w:val="16"/>
                <w:szCs w:val="16"/>
              </w:rPr>
            </w:pPr>
          </w:p>
          <w:p w14:paraId="154305EC" w14:textId="77777777" w:rsidR="0017729F" w:rsidRPr="008F587F" w:rsidRDefault="0017729F" w:rsidP="008F587F">
            <w:pPr>
              <w:spacing w:before="60" w:after="60"/>
              <w:rPr>
                <w:rFonts w:ascii="Arial" w:hAnsi="Arial" w:cs="Arial"/>
                <w:sz w:val="16"/>
                <w:szCs w:val="16"/>
              </w:rPr>
            </w:pPr>
          </w:p>
        </w:tc>
      </w:tr>
      <w:tr w:rsidR="00390A1B" w:rsidRPr="008F587F" w14:paraId="1073A611"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63B7977"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32AF76F7" w14:textId="4D8ABC34"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 A</w:t>
            </w:r>
          </w:p>
        </w:tc>
      </w:tr>
      <w:tr w:rsidR="00390A1B" w:rsidRPr="008F587F" w14:paraId="51C20B42"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3FB6A6D4"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5D2AE5E3"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7AD6D104"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C36BBFE"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47E4671B"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1E1D8D2D"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6EBDC199" w14:textId="16C53012"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14:paraId="00B90B0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55E83274" w14:textId="00900C29"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2" w:name="Casilla9"/>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14:paraId="666B556D"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2054496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5C8FEE85"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14:paraId="18BE4DD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57BC1B2C"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7DCD7F7B"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3EB92CC3"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0F6F979"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14:paraId="6BA04567"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4FA07A6F" w14:textId="77777777" w:rsidR="002B59CA" w:rsidRDefault="002B59CA" w:rsidP="008F587F">
            <w:pPr>
              <w:tabs>
                <w:tab w:val="left" w:pos="3420"/>
              </w:tabs>
              <w:spacing w:before="60" w:after="60"/>
              <w:rPr>
                <w:rFonts w:ascii="Arial" w:hAnsi="Arial" w:cs="Arial"/>
                <w:b/>
              </w:rPr>
            </w:pPr>
          </w:p>
          <w:p w14:paraId="5A85CBC4" w14:textId="77777777" w:rsidR="006C2B96" w:rsidRDefault="006C2B96" w:rsidP="008F587F">
            <w:pPr>
              <w:tabs>
                <w:tab w:val="left" w:pos="3420"/>
              </w:tabs>
              <w:spacing w:before="60" w:after="60"/>
              <w:rPr>
                <w:rFonts w:ascii="Arial" w:hAnsi="Arial" w:cs="Arial"/>
                <w:b/>
              </w:rPr>
            </w:pPr>
          </w:p>
          <w:p w14:paraId="59E6F711" w14:textId="77777777" w:rsidR="006C2B96" w:rsidRDefault="006C2B96" w:rsidP="008F587F">
            <w:pPr>
              <w:tabs>
                <w:tab w:val="left" w:pos="3420"/>
              </w:tabs>
              <w:spacing w:before="60" w:after="60"/>
              <w:rPr>
                <w:rFonts w:ascii="Arial" w:hAnsi="Arial" w:cs="Arial"/>
                <w:b/>
              </w:rPr>
            </w:pPr>
          </w:p>
          <w:p w14:paraId="0CA1315A" w14:textId="77777777" w:rsidR="006C2B96" w:rsidRDefault="006C2B96" w:rsidP="008F587F">
            <w:pPr>
              <w:tabs>
                <w:tab w:val="left" w:pos="3420"/>
              </w:tabs>
              <w:spacing w:before="60" w:after="60"/>
              <w:rPr>
                <w:rFonts w:ascii="Arial" w:hAnsi="Arial" w:cs="Arial"/>
                <w:b/>
              </w:rPr>
            </w:pPr>
          </w:p>
          <w:p w14:paraId="1EEF0BEF" w14:textId="77777777" w:rsidR="006C2B96" w:rsidRDefault="006C2B96" w:rsidP="008F587F">
            <w:pPr>
              <w:tabs>
                <w:tab w:val="left" w:pos="3420"/>
              </w:tabs>
              <w:spacing w:before="60" w:after="60"/>
              <w:rPr>
                <w:rFonts w:ascii="Arial" w:hAnsi="Arial" w:cs="Arial"/>
                <w:b/>
              </w:rPr>
            </w:pPr>
          </w:p>
          <w:p w14:paraId="53A9992E" w14:textId="77777777" w:rsidR="006C2B96" w:rsidRPr="008F587F" w:rsidRDefault="006C2B96" w:rsidP="008F587F">
            <w:pPr>
              <w:tabs>
                <w:tab w:val="left" w:pos="3420"/>
              </w:tabs>
              <w:spacing w:before="60" w:after="60"/>
              <w:rPr>
                <w:rFonts w:ascii="Arial" w:hAnsi="Arial" w:cs="Arial"/>
                <w:b/>
              </w:rPr>
            </w:pPr>
          </w:p>
          <w:p w14:paraId="2C664CE2"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ESTIMACIÓN DEL IMPACTO DE LA PROPUESTA EN EMT</w:t>
            </w:r>
          </w:p>
        </w:tc>
      </w:tr>
      <w:tr w:rsidR="006C2285" w:rsidRPr="008F587F" w14:paraId="7922234E"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E936F4F"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0E073D08"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2DB1600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4" w:name="Casilla18"/>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08BE77D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1B1CDC7D"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46BD26E9" w14:textId="7A8BB719"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5" w:name="Casilla19"/>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618A8BAA" w14:textId="37C50873" w:rsidR="006C2285" w:rsidRPr="008F587F" w:rsidRDefault="006C2285" w:rsidP="00BB5380">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B5380">
              <w:rPr>
                <w:rFonts w:ascii="Arial" w:hAnsi="Arial" w:cs="Arial"/>
                <w:sz w:val="16"/>
                <w:szCs w:val="16"/>
              </w:rPr>
              <w:t xml:space="preserve">Valdivia, Región de Los Ríos. </w:t>
            </w:r>
            <w:r w:rsidR="00BB5380">
              <w:rPr>
                <w:rFonts w:ascii="Arial" w:hAnsi="Arial" w:cs="Arial"/>
                <w:noProof/>
                <w:sz w:val="16"/>
                <w:szCs w:val="16"/>
              </w:rPr>
              <w:t xml:space="preserve"> </w:t>
            </w:r>
            <w:r w:rsidRPr="008F587F">
              <w:rPr>
                <w:rFonts w:ascii="Arial" w:hAnsi="Arial" w:cs="Arial"/>
                <w:sz w:val="16"/>
                <w:szCs w:val="16"/>
              </w:rPr>
              <w:fldChar w:fldCharType="end"/>
            </w:r>
            <w:bookmarkEnd w:id="16"/>
          </w:p>
        </w:tc>
      </w:tr>
      <w:tr w:rsidR="006C2285" w:rsidRPr="008F587F" w14:paraId="60667592"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3D43782F"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042ADA08"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55B93B5A"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14:paraId="3E26D951" w14:textId="2983B0C4"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bookmarkStart w:id="17" w:name="Casilla41"/>
            <w:r w:rsidRPr="008F587F">
              <w:rPr>
                <w:rFonts w:ascii="Arial" w:hAnsi="Arial" w:cs="Arial"/>
                <w:sz w:val="20"/>
                <w:szCs w:val="20"/>
              </w:rPr>
              <w:instrText xml:space="preserve"> FORMCHECKBOX </w:instrText>
            </w:r>
            <w:r w:rsidR="00DB2A1C" w:rsidRPr="008F587F">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14:paraId="736BC84C"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08EFFD94" w14:textId="3977E33B"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DB2A1C" w:rsidRPr="008F587F">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79DFD4E1"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1AF6ABD5"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0E5ED3B7"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AFB1B9A"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5BF22A18"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66ECD53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14:paraId="26BB9E1B"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14:paraId="06AD3B78"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14:paraId="3ECF0CE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14:paraId="282F27D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14:paraId="3417BA0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14:paraId="0D49238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14:paraId="49E471E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14:paraId="0862A077"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7445B4A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14:paraId="312F837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14:paraId="06D44E1F"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14:paraId="19C5AA78"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14:paraId="4F2981B4"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14:paraId="0661B481"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B751BC">
              <w:rPr>
                <w:rFonts w:ascii="Arial" w:hAnsi="Arial" w:cs="Arial"/>
                <w:sz w:val="16"/>
                <w:szCs w:val="16"/>
              </w:rPr>
            </w:r>
            <w:r w:rsidR="00B751BC">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14:paraId="6D5671BB"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14:paraId="28560DF8" w14:textId="1664424D"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14:paraId="34C3F8B8"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4AB29FA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14:paraId="41A32913" w14:textId="66E4407C"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14:paraId="2B6B9738"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14:paraId="59950699" w14:textId="30F5F781"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14:paraId="452B11D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14:paraId="205770E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14:paraId="5592BF3B"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bookmarkStart w:id="29" w:name="_GoBack"/>
        <w:tc>
          <w:tcPr>
            <w:tcW w:w="572" w:type="dxa"/>
            <w:gridSpan w:val="2"/>
            <w:tcBorders>
              <w:top w:val="nil"/>
              <w:left w:val="nil"/>
              <w:bottom w:val="nil"/>
              <w:right w:val="single" w:sz="4" w:space="0" w:color="auto"/>
            </w:tcBorders>
            <w:shd w:val="clear" w:color="auto" w:fill="auto"/>
            <w:vAlign w:val="center"/>
          </w:tcPr>
          <w:p w14:paraId="79BF238E" w14:textId="5D9B0EE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DB2A1C" w:rsidRPr="008F587F">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bookmarkEnd w:id="29"/>
          </w:p>
        </w:tc>
      </w:tr>
      <w:tr w:rsidR="006C2285" w:rsidRPr="008F587F" w14:paraId="2D75C666"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5D2987A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14:paraId="1D46FA13" w14:textId="09F08090"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46F478E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2BCF1321"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421DB15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0828C34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1ED8338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673D15AF"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B751BC">
              <w:rPr>
                <w:rFonts w:ascii="Arial" w:hAnsi="Arial" w:cs="Arial"/>
                <w:sz w:val="20"/>
                <w:szCs w:val="20"/>
              </w:rPr>
            </w:r>
            <w:r w:rsidR="00B751BC">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7C8ABBDB"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1A48F925"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020D27CD"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155C255" w14:textId="4B564175" w:rsidR="005C1EA8" w:rsidRPr="00010D4F" w:rsidRDefault="005C1EA8" w:rsidP="00BB5380">
            <w:pPr>
              <w:spacing w:before="60" w:after="60"/>
              <w:rPr>
                <w:rFonts w:ascii="Arial" w:hAnsi="Arial" w:cs="Arial"/>
                <w:sz w:val="18"/>
                <w:szCs w:val="18"/>
              </w:rPr>
            </w:pPr>
            <w:r w:rsidRPr="00010D4F">
              <w:rPr>
                <w:rFonts w:ascii="Arial" w:hAnsi="Arial" w:cs="Arial"/>
                <w:sz w:val="18"/>
                <w:szCs w:val="18"/>
              </w:rPr>
              <w:lastRenderedPageBreak/>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 xml:space="preserve">Directamente a las 9 empresas de transporte público mayor registradas para operar sus servicios en la ciudad de Valdivia. </w:t>
            </w:r>
            <w:r w:rsidRPr="00010D4F">
              <w:rPr>
                <w:rFonts w:ascii="Arial" w:hAnsi="Arial" w:cs="Arial"/>
                <w:sz w:val="18"/>
                <w:szCs w:val="18"/>
              </w:rPr>
              <w:fldChar w:fldCharType="end"/>
            </w:r>
          </w:p>
        </w:tc>
      </w:tr>
      <w:tr w:rsidR="00BD25F0" w:rsidRPr="00010D4F" w14:paraId="633D4E8A"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DBC8CC2"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5570CB8A"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1E28CAF2"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41FAE311"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50E5E256" w14:textId="4AD30B3C"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43CBEB13"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DFE6741"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63588BBD"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106162B"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14:paraId="618D1010" w14:textId="77777777" w:rsidR="004773CA" w:rsidRPr="00010D4F" w:rsidRDefault="004773CA" w:rsidP="008F587F">
            <w:pPr>
              <w:spacing w:before="60" w:after="60"/>
              <w:ind w:left="360" w:hanging="360"/>
              <w:jc w:val="both"/>
              <w:rPr>
                <w:rFonts w:ascii="Arial" w:hAnsi="Arial" w:cs="Arial"/>
                <w:sz w:val="16"/>
                <w:szCs w:val="16"/>
              </w:rPr>
            </w:pPr>
          </w:p>
          <w:p w14:paraId="7BAE289A" w14:textId="77777777" w:rsidR="00803F65" w:rsidRPr="00010D4F" w:rsidRDefault="00803F65" w:rsidP="008F587F">
            <w:pPr>
              <w:spacing w:before="60" w:after="60"/>
              <w:jc w:val="both"/>
              <w:rPr>
                <w:rFonts w:ascii="Arial" w:hAnsi="Arial" w:cs="Arial"/>
                <w:sz w:val="18"/>
                <w:szCs w:val="18"/>
              </w:rPr>
            </w:pPr>
          </w:p>
        </w:tc>
      </w:tr>
      <w:tr w:rsidR="00ED471C" w:rsidRPr="00010D4F" w14:paraId="29EF5BF0"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6F5ABCC"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29CC9EA8"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7B56C621"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5EA6D5E9"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41692FAD" w14:textId="767FFDFA"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384272AD"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4AFBC85D"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467176D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3616FC"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1CADF7"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2D4AD691"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B1639A4"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0EAE0E91"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22A979F6"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9E7F4DD" w14:textId="77777777"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701E048F"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B88445"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B723DB"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3E76BC3"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74A47485"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A1D14B"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E70117"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52196D7" w14:textId="77777777"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14:paraId="3DE4483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16F7EB"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031D7E6"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334711D" w14:textId="77777777"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14:paraId="2A9B41E5"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B3485C"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DEBDE37"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CB8DA4C"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4F2103D"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BAF15"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B877A6"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D2C591"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F30FE8A"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65AF5A"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04FC91"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F5A1DAB"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BCF167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5A1D0AC" w14:textId="77777777"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E09E928"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DFE71"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23710C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58AEF44"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C7805F"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427B1F"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A7A3B11"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2E38B6BF" w14:textId="77777777"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6FBE8381"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4A531"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91F2C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71AF1E4"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3EF5154"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C7D73B"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98FDE0"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B505591"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025043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0FB917"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3C7C54"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7A553D"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2697C1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207466"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31E3789"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9454B5F"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7390F10"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3CA4C81"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12E5DC17"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14C06543"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03038ED7"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A8B8029" w14:textId="4162A53F"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06BAAFF5"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3F986F2" w14:textId="77777777"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2D2456F3"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D0CC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lastRenderedPageBreak/>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0DF8EFA" w14:textId="77777777"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14:paraId="1B7CC325"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57305F"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E767E4"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8980F0"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3E3EEE35"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662860FF"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1E03BC"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8208C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96BC90"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CCC21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2ACCA964"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F4538C7"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D9FF5BE"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A376D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137AB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57791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439858B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88B32DB"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F2AA0A6"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1D6C7"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7934EF"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087D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14:paraId="50471862"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468FAA7C"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08C40A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97EAF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1E6325"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CE52B0"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E82EE3F"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27F3766"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757D2F0D"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65C7EB0B"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5FFACFB6"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33FF5761" w14:textId="04BED48D"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717EBE59"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190F7C9"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513C1D1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593E7D"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8BF1973"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66403B06"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92544BF"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14:paraId="35CB3EFC"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14:paraId="5B12DFF0"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34E981"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EEADCA"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DF381"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C35C86"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C17784"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0EA826AC"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E25E3FC"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3E69DE82"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04C27"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D672CC"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FED4E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3A5EC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52253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DF8D248"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E89F7EA"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40A9A61B"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DA7DAD1"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82426A"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3AC91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40E5AC"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B7D66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BC1E80C"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7562E8D"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44C1C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CA87A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C2A00F"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30E22"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41CA2C5"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8EFE8F5"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C8B540"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DE459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1FCC6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F1678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6D31D83"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99D306A"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572BF9"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3EC4A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0B024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64105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B69F8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C2010DF"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33F7C8"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5730D"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0B6077"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80652F"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C67E004"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0911F321"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A8F59C"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E31320"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6187F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AA0AA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EB6367E"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809E580"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14:paraId="36A01C1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6F555530"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B21557"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E96AA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AE079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6569F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0D2ECCD"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761E6D6"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E162B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95623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E6DB3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475A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7D18D1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26D3397C"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lastRenderedPageBreak/>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5108B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C71C1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8D2AC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AF8D6F"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78CE71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6D1E031E"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6A815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F0F918"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90C552"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EE85B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26DD3C0"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38B4CBB"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0B6BD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33E82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5DCEA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CC9B4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11D1DAF"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A61483D"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168C6D1B"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5088E08"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3D790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58331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ACF2B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E9206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F2DC69C"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24425118"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0BE23592"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A290DB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14:paraId="53FEE98F" w14:textId="77777777" w:rsidR="00F2751A" w:rsidRPr="00010D4F" w:rsidRDefault="00F2751A" w:rsidP="008F587F">
            <w:pPr>
              <w:spacing w:before="60" w:after="60"/>
              <w:rPr>
                <w:rFonts w:ascii="Arial" w:hAnsi="Arial" w:cs="Arial"/>
                <w:sz w:val="18"/>
                <w:szCs w:val="18"/>
              </w:rPr>
            </w:pPr>
          </w:p>
          <w:p w14:paraId="7552FDDE" w14:textId="77777777" w:rsidR="00F2751A" w:rsidRPr="00010D4F" w:rsidRDefault="00F2751A" w:rsidP="008F587F">
            <w:pPr>
              <w:spacing w:before="60" w:after="60"/>
              <w:rPr>
                <w:rFonts w:ascii="Arial" w:hAnsi="Arial" w:cs="Arial"/>
                <w:sz w:val="18"/>
                <w:szCs w:val="18"/>
              </w:rPr>
            </w:pPr>
          </w:p>
        </w:tc>
      </w:tr>
      <w:tr w:rsidR="00F2751A" w:rsidRPr="00010D4F" w14:paraId="7C44D984"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002DE8B3"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1DFDC98D"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78598986"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14:paraId="7AD207F7"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29E10B"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DAB2D06"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EB2AB5"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1DC990A1"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68880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5486070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BE29BB"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253E273" w14:textId="417ABF3C"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22FE6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CD95CBE"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4C8D3C4"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770C479" w14:textId="010C1FC2"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2E0742" w14:textId="77777777"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7C4A07A"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9C7E932"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4A0CE4" w14:textId="77777777"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DD459D" w14:textId="47AE6CE8"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SI</w:t>
            </w:r>
            <w:r w:rsidRPr="00010D4F">
              <w:rPr>
                <w:rFonts w:ascii="Arial" w:hAnsi="Arial" w:cs="Arial"/>
                <w:sz w:val="18"/>
                <w:szCs w:val="18"/>
              </w:rPr>
              <w:fldChar w:fldCharType="end"/>
            </w:r>
          </w:p>
        </w:tc>
      </w:tr>
      <w:tr w:rsidR="00F2751A" w:rsidRPr="00010D4F" w14:paraId="2B9DFE4B"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7D4D5FAD"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C5C7D9D" w14:textId="4B239DF0"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4BBCFD" w14:textId="77777777" w:rsidR="00974E44" w:rsidRPr="00974E44"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4516579"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731488D" w14:textId="77777777" w:rsidR="00974E44" w:rsidRDefault="00974E44" w:rsidP="00CB2AFE">
            <w:pPr>
              <w:spacing w:before="60" w:after="60"/>
              <w:rPr>
                <w:rFonts w:ascii="Arial" w:hAnsi="Arial" w:cs="Arial"/>
                <w:b/>
                <w:sz w:val="16"/>
                <w:szCs w:val="16"/>
              </w:rPr>
            </w:pPr>
          </w:p>
          <w:p w14:paraId="68B94A19" w14:textId="77777777" w:rsidR="00974E44" w:rsidRDefault="00974E44" w:rsidP="00CB2AFE">
            <w:pPr>
              <w:spacing w:before="60" w:after="60"/>
              <w:rPr>
                <w:rFonts w:ascii="Arial" w:hAnsi="Arial" w:cs="Arial"/>
                <w:b/>
                <w:sz w:val="16"/>
                <w:szCs w:val="16"/>
              </w:rPr>
            </w:pPr>
          </w:p>
          <w:p w14:paraId="275C8B1B"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46EF8548"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1AEA48D"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3EBAE03" w14:textId="6722478C"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7F551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DB2D2F7"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DD8EAA7"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AEFE28" w14:textId="4223AF50"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p w14:paraId="1559172E"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DB009A"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5D8FD5"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053F7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14:paraId="79E7D993"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063BFF0"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C720B1" w14:textId="1D0433F1" w:rsidR="00F2751A" w:rsidRPr="00010D4F" w:rsidRDefault="00F2751A" w:rsidP="00BB5380">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3E239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BD2F903"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E92E36C"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2B8C5C" w14:textId="77777777" w:rsidR="00F2751A" w:rsidRPr="00010D4F"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B4955D" w14:textId="5E13EE71"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SI</w:t>
            </w:r>
            <w:r w:rsidRPr="00010D4F">
              <w:rPr>
                <w:rFonts w:ascii="Arial" w:hAnsi="Arial" w:cs="Arial"/>
                <w:sz w:val="18"/>
                <w:szCs w:val="18"/>
              </w:rPr>
              <w:fldChar w:fldCharType="end"/>
            </w:r>
          </w:p>
        </w:tc>
      </w:tr>
      <w:tr w:rsidR="00F2751A" w:rsidRPr="00010D4F" w14:paraId="67D64F81"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7A7B4F8"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16BE0FAE"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23B4F7A9"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08DC22B"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5ED92C"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14:paraId="146C3D83" w14:textId="77777777" w:rsidR="00057A3A" w:rsidRDefault="00057A3A" w:rsidP="00043323">
      <w:pPr>
        <w:rPr>
          <w:rFonts w:ascii="Arial" w:hAnsi="Arial" w:cs="Arial"/>
          <w:b/>
          <w:sz w:val="20"/>
          <w:szCs w:val="20"/>
        </w:rPr>
      </w:pPr>
    </w:p>
    <w:p w14:paraId="17808004"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3D9FD661"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37BBE07C"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lastRenderedPageBreak/>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68BDABEB"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37F01F34" w14:textId="77777777"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14:paraId="11E9F12C" w14:textId="77777777" w:rsidR="007D00A8" w:rsidRDefault="007D00A8" w:rsidP="00AB15C8">
            <w:pPr>
              <w:spacing w:before="60" w:after="60"/>
              <w:rPr>
                <w:rFonts w:ascii="Arial" w:hAnsi="Arial" w:cs="Arial"/>
                <w:sz w:val="18"/>
                <w:szCs w:val="18"/>
              </w:rPr>
            </w:pPr>
          </w:p>
          <w:p w14:paraId="56D5F24F" w14:textId="77777777" w:rsidR="007D00A8" w:rsidRPr="00010D4F" w:rsidRDefault="007D00A8" w:rsidP="00AB15C8">
            <w:pPr>
              <w:spacing w:before="60" w:after="60"/>
              <w:rPr>
                <w:rFonts w:ascii="Arial" w:hAnsi="Arial" w:cs="Arial"/>
                <w:sz w:val="18"/>
                <w:szCs w:val="18"/>
              </w:rPr>
            </w:pPr>
          </w:p>
        </w:tc>
      </w:tr>
      <w:tr w:rsidR="007D00A8" w:rsidRPr="00010D4F" w14:paraId="5783BF56"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4F7953CD"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7C90BBDB" w14:textId="09BB8398"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B751BC">
              <w:rPr>
                <w:rFonts w:ascii="Arial" w:hAnsi="Arial" w:cs="Arial"/>
                <w:sz w:val="18"/>
                <w:szCs w:val="18"/>
              </w:rPr>
            </w:r>
            <w:r w:rsidR="00B751BC">
              <w:rPr>
                <w:rFonts w:ascii="Arial" w:hAnsi="Arial" w:cs="Arial"/>
                <w:sz w:val="18"/>
                <w:szCs w:val="18"/>
              </w:rPr>
              <w:fldChar w:fldCharType="separate"/>
            </w:r>
            <w:r w:rsidRPr="00010D4F">
              <w:rPr>
                <w:rFonts w:ascii="Arial" w:hAnsi="Arial" w:cs="Arial"/>
                <w:sz w:val="18"/>
                <w:szCs w:val="18"/>
              </w:rPr>
              <w:fldChar w:fldCharType="end"/>
            </w:r>
          </w:p>
        </w:tc>
      </w:tr>
    </w:tbl>
    <w:p w14:paraId="74502CF7" w14:textId="77777777"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85692" w14:textId="77777777" w:rsidR="00B751BC" w:rsidRDefault="00B751BC">
      <w:r>
        <w:separator/>
      </w:r>
    </w:p>
  </w:endnote>
  <w:endnote w:type="continuationSeparator" w:id="0">
    <w:p w14:paraId="6D073163" w14:textId="77777777" w:rsidR="00B751BC" w:rsidRDefault="00B7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DF65" w14:textId="77777777" w:rsidR="000F547A" w:rsidRPr="00157170" w:rsidRDefault="000F547A"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7000EFA5" w14:textId="77777777" w:rsidR="000F547A" w:rsidRPr="00157170" w:rsidRDefault="000F547A" w:rsidP="00157170">
    <w:pPr>
      <w:pStyle w:val="Piedepgina"/>
      <w:tabs>
        <w:tab w:val="clear" w:pos="8838"/>
        <w:tab w:val="right" w:pos="8840"/>
      </w:tabs>
      <w:rPr>
        <w:sz w:val="18"/>
        <w:szCs w:val="18"/>
      </w:rPr>
    </w:pPr>
    <w:r w:rsidRPr="00157170">
      <w:rPr>
        <w:sz w:val="18"/>
        <w:szCs w:val="18"/>
      </w:rPr>
      <w:t>Procedimiento Artículo Quinto, Ley 20.416.</w:t>
    </w:r>
  </w:p>
  <w:p w14:paraId="6EF6717E" w14:textId="77777777" w:rsidR="000F547A" w:rsidRPr="00157170" w:rsidRDefault="000F547A"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EB40" w14:textId="77777777" w:rsidR="00B751BC" w:rsidRDefault="00B751BC">
      <w:r>
        <w:separator/>
      </w:r>
    </w:p>
  </w:footnote>
  <w:footnote w:type="continuationSeparator" w:id="0">
    <w:p w14:paraId="353F115F" w14:textId="77777777" w:rsidR="00B751BC" w:rsidRDefault="00B751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547A"/>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0AA7"/>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E3DF2"/>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1CD0"/>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751BC"/>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538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2A1C"/>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2E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C183-291D-944E-AF72-2D6CDBBB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2592</Words>
  <Characters>14256</Characters>
  <Application>Microsoft Macintosh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Usuario de Microsoft Office</cp:lastModifiedBy>
  <cp:revision>2</cp:revision>
  <cp:lastPrinted>2010-08-18T18:31:00Z</cp:lastPrinted>
  <dcterms:created xsi:type="dcterms:W3CDTF">2020-04-23T19:36:00Z</dcterms:created>
  <dcterms:modified xsi:type="dcterms:W3CDTF">2020-04-23T19:36:00Z</dcterms:modified>
</cp:coreProperties>
</file>